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A77D8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EB43CC2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8BCD86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755848A5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6E7E045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18939A80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719AD566" w14:textId="77777777" w:rsidR="008C6721" w:rsidRPr="002B50C0" w:rsidRDefault="00307A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7B5DF2">
        <w:rPr>
          <w:rFonts w:ascii="Arial" w:hAnsi="Arial" w:cs="Arial"/>
          <w:b/>
          <w:color w:val="auto"/>
          <w:sz w:val="24"/>
          <w:szCs w:val="24"/>
        </w:rPr>
        <w:t>I</w:t>
      </w:r>
      <w:r w:rsidR="00871F18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BF98D09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14:paraId="037B59B4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FA46A2A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98335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7765B7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3F325D" w:rsidRPr="002B50C0" w14:paraId="549DCF5C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2D12E0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9F5F7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14:paraId="7FF70B49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528D2F7" w14:textId="77777777"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21FB4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14:paraId="147A0527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78F9FD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B2C2A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14:paraId="4BD58D75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245DFF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6B54A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14:paraId="641CDA8E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A09679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DB9790C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59A13" w14:textId="77777777" w:rsidR="008D71D4" w:rsidRDefault="00AC1716" w:rsidP="00162702">
            <w:pPr>
              <w:spacing w:line="240" w:lineRule="auto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="00DB760F">
              <w:rPr>
                <w:rFonts w:ascii="Arial" w:hAnsi="Arial" w:cs="Arial"/>
              </w:rPr>
              <w:t xml:space="preserve">Aktualny: </w:t>
            </w:r>
            <w:r w:rsidR="00AF5974">
              <w:rPr>
                <w:rFonts w:ascii="Arial" w:hAnsi="Arial" w:cs="Arial"/>
              </w:rPr>
              <w:t xml:space="preserve"> </w:t>
            </w:r>
            <w:r w:rsidR="00AF5974" w:rsidRPr="007B5DF2">
              <w:rPr>
                <w:rFonts w:ascii="Arial" w:hAnsi="Arial" w:cs="Arial"/>
              </w:rPr>
              <w:t>22 699 395,00 PLN</w:t>
            </w:r>
            <w:r w:rsidR="008D71D4">
              <w:rPr>
                <w:rFonts w:ascii="Arial" w:hAnsi="Arial" w:cs="Arial"/>
              </w:rPr>
              <w:t xml:space="preserve"> </w:t>
            </w:r>
          </w:p>
          <w:p w14:paraId="67D4A723" w14:textId="77777777" w:rsidR="003F325D" w:rsidRPr="00162702" w:rsidRDefault="008D71D4" w:rsidP="0016270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Zmiana całkowitego kosztu projektu wynika z </w:t>
            </w:r>
            <w:r w:rsidR="00162702" w:rsidRPr="00162702">
              <w:rPr>
                <w:rFonts w:ascii="Arial" w:hAnsi="Arial" w:cs="Arial"/>
              </w:rPr>
              <w:t>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21.06.2021 r. nr UDA-POPC.04.01.01-00-0041/20-03 do Porozumienia nr UDA-POPC.04.01.01-00-0041/20-00 oraz 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24.06.2021 r. nr UDAPOPC. 04.01.01000041/20-04 do Porozumienia nr UDAPOPC.04.01.01-00-0041/</w:t>
            </w:r>
            <w:r w:rsidR="00162702">
              <w:rPr>
                <w:rFonts w:ascii="Arial" w:hAnsi="Arial" w:cs="Arial"/>
              </w:rPr>
              <w:t>20-00).</w:t>
            </w:r>
          </w:p>
        </w:tc>
      </w:tr>
      <w:tr w:rsidR="003F325D" w:rsidRPr="002B50C0" w14:paraId="0E122BA0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1F9688E" w14:textId="77777777"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CE9CD" w14:textId="77777777" w:rsidR="003F325D" w:rsidRPr="00141A92" w:rsidRDefault="007B5DF2" w:rsidP="00AF59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5DF2">
              <w:rPr>
                <w:rFonts w:ascii="Arial" w:hAnsi="Arial" w:cs="Arial"/>
              </w:rPr>
              <w:t>22 699 395,00 PLN</w:t>
            </w:r>
            <w:r w:rsidR="00DB760F" w:rsidRPr="00DB760F">
              <w:rPr>
                <w:rFonts w:ascii="Arial" w:hAnsi="Arial" w:cs="Arial"/>
              </w:rPr>
              <w:t xml:space="preserve"> brutto</w:t>
            </w:r>
          </w:p>
        </w:tc>
      </w:tr>
      <w:tr w:rsidR="003F325D" w:rsidRPr="002B50C0" w14:paraId="79716972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205DE8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6BF83BD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DF088" w14:textId="77777777"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14:paraId="0EE724AA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76571D" w14:textId="77777777"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 xml:space="preserve">W dniu 24 września 2019 r. została opublikowana w dzienniku </w:t>
      </w:r>
      <w:r w:rsidR="00334425">
        <w:rPr>
          <w:rFonts w:ascii="Arial" w:hAnsi="Arial" w:cs="Arial"/>
        </w:rPr>
        <w:t>ustaw</w:t>
      </w:r>
      <w:r w:rsidR="00334425" w:rsidRPr="003F325D">
        <w:rPr>
          <w:rFonts w:ascii="Arial" w:hAnsi="Arial" w:cs="Arial"/>
        </w:rPr>
        <w:t xml:space="preserve"> </w:t>
      </w:r>
      <w:r w:rsidRPr="003F325D">
        <w:rPr>
          <w:rFonts w:ascii="Arial" w:hAnsi="Arial" w:cs="Arial"/>
        </w:rPr>
        <w:t xml:space="preserve">nowelizacja ustawy z dnia 7 maja 2010 r. o wspieraniu rozwoju usług i sieci telekomunikacyjnych (Dz. U. poz. 1815). Trwają prace związane z </w:t>
      </w:r>
      <w:r w:rsidR="00334425">
        <w:rPr>
          <w:rFonts w:ascii="Arial" w:hAnsi="Arial" w:cs="Arial"/>
        </w:rPr>
        <w:t xml:space="preserve">przygotowaniem projektu nowego rozporządzenia </w:t>
      </w:r>
      <w:r w:rsidRPr="003F325D">
        <w:rPr>
          <w:rFonts w:ascii="Arial" w:hAnsi="Arial" w:cs="Arial"/>
        </w:rPr>
        <w:t>w sprawie inwentaryzacji infrastruktury i usług telekomunikacyjnych</w:t>
      </w:r>
      <w:r w:rsidR="00334425">
        <w:rPr>
          <w:rFonts w:ascii="Arial" w:hAnsi="Arial" w:cs="Arial"/>
        </w:rPr>
        <w:t>, co wynika ze</w:t>
      </w:r>
      <w:r w:rsidRPr="003F325D">
        <w:rPr>
          <w:rFonts w:ascii="Arial" w:hAnsi="Arial" w:cs="Arial"/>
        </w:rPr>
        <w:t xml:space="preserve"> zmian </w:t>
      </w:r>
      <w:r w:rsidR="00334425">
        <w:rPr>
          <w:rFonts w:ascii="Arial" w:hAnsi="Arial" w:cs="Arial"/>
        </w:rPr>
        <w:t>wprowadzonych</w:t>
      </w:r>
      <w:r w:rsidR="00334425"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 xml:space="preserve">ww. </w:t>
      </w:r>
      <w:r w:rsidRPr="003F325D">
        <w:rPr>
          <w:rFonts w:ascii="Arial" w:hAnsi="Arial" w:cs="Arial"/>
        </w:rPr>
        <w:t>nowelizacj</w:t>
      </w:r>
      <w:r w:rsidR="00334425">
        <w:rPr>
          <w:rFonts w:ascii="Arial" w:hAnsi="Arial" w:cs="Arial"/>
        </w:rPr>
        <w:t>ą</w:t>
      </w:r>
      <w:r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>Z</w:t>
      </w:r>
      <w:r w:rsidRPr="003F325D">
        <w:rPr>
          <w:rFonts w:ascii="Arial" w:hAnsi="Arial" w:cs="Arial"/>
        </w:rPr>
        <w:t>miany wejdą w życie z dniem 1 stycznia 2022 r. 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14:paraId="5AF8C6B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E2ABA3C" w14:textId="77777777" w:rsidTr="007174E5">
        <w:trPr>
          <w:trHeight w:val="51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4EBD90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6F2DCF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E145C6E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14:paraId="47C7B5AA" w14:textId="77777777" w:rsidTr="00795AFA">
        <w:tc>
          <w:tcPr>
            <w:tcW w:w="2972" w:type="dxa"/>
          </w:tcPr>
          <w:p w14:paraId="18375436" w14:textId="77777777" w:rsidR="003F325D" w:rsidRPr="00141A92" w:rsidRDefault="00871F18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  <w:r w:rsidR="00166F4A">
              <w:rPr>
                <w:rFonts w:ascii="Arial" w:hAnsi="Arial" w:cs="Arial"/>
                <w:sz w:val="20"/>
              </w:rPr>
              <w:t xml:space="preserve"> 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14:paraId="1DA648E0" w14:textId="77777777" w:rsidR="003F325D" w:rsidRPr="009417C9" w:rsidRDefault="00AC1716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 xml:space="preserve">1. </w:t>
            </w:r>
            <w:r w:rsidR="00CF31C6">
              <w:rPr>
                <w:rFonts w:ascii="Arial" w:hAnsi="Arial" w:cs="Arial"/>
                <w:sz w:val="20"/>
              </w:rPr>
              <w:t>10,71</w:t>
            </w:r>
            <w:r w:rsidR="00593EA3">
              <w:rPr>
                <w:rFonts w:ascii="Arial" w:hAnsi="Arial" w:cs="Arial"/>
                <w:sz w:val="20"/>
              </w:rPr>
              <w:t>%</w:t>
            </w:r>
          </w:p>
          <w:p w14:paraId="0F468821" w14:textId="77777777" w:rsidR="003F325D" w:rsidRPr="009417C9" w:rsidRDefault="0013526E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 xml:space="preserve">2. </w:t>
            </w:r>
            <w:r w:rsidR="00914D84">
              <w:rPr>
                <w:rFonts w:ascii="Arial" w:hAnsi="Arial" w:cs="Arial"/>
                <w:sz w:val="20"/>
              </w:rPr>
              <w:t>9,</w:t>
            </w:r>
            <w:r w:rsidR="00871F18">
              <w:rPr>
                <w:rFonts w:ascii="Arial" w:hAnsi="Arial" w:cs="Arial"/>
                <w:sz w:val="20"/>
              </w:rPr>
              <w:t>76</w:t>
            </w:r>
            <w:r w:rsidR="00871F18" w:rsidRPr="009417C9">
              <w:rPr>
                <w:rFonts w:ascii="Arial" w:hAnsi="Arial" w:cs="Arial"/>
                <w:sz w:val="20"/>
              </w:rPr>
              <w:t xml:space="preserve"> </w:t>
            </w:r>
            <w:r w:rsidR="003F325D" w:rsidRPr="009417C9">
              <w:rPr>
                <w:rFonts w:ascii="Arial" w:hAnsi="Arial" w:cs="Arial"/>
                <w:sz w:val="20"/>
              </w:rPr>
              <w:t>%</w:t>
            </w:r>
          </w:p>
          <w:p w14:paraId="1FE109CB" w14:textId="77777777" w:rsidR="003F325D" w:rsidRPr="00935299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17C9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14:paraId="1741863E" w14:textId="77777777" w:rsidR="003F325D" w:rsidRPr="00935299" w:rsidRDefault="00430CEE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78,56</w:t>
            </w:r>
            <w:r w:rsidR="009B69EE">
              <w:rPr>
                <w:rFonts w:ascii="Arial" w:hAnsi="Arial" w:cs="Arial"/>
                <w:sz w:val="20"/>
              </w:rPr>
              <w:t>%</w:t>
            </w:r>
          </w:p>
        </w:tc>
      </w:tr>
    </w:tbl>
    <w:p w14:paraId="53911CFD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111F4C6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28E801C2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7996A53E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6798414C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0DF37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D40E4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4D855AA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FF3086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14:paraId="530BC099" w14:textId="77777777" w:rsidTr="006B5117">
        <w:tc>
          <w:tcPr>
            <w:tcW w:w="2127" w:type="dxa"/>
          </w:tcPr>
          <w:p w14:paraId="234E3A74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4298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F787B84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14:paraId="3C273691" w14:textId="77777777"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14:paraId="47653AAF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11891588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14:paraId="3FE58234" w14:textId="77777777" w:rsidTr="006B5117">
        <w:tc>
          <w:tcPr>
            <w:tcW w:w="2127" w:type="dxa"/>
          </w:tcPr>
          <w:p w14:paraId="04E87E49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5BAF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467260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14:paraId="342A07F9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14:paraId="4B80AF00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Osiągnięty.</w:t>
            </w:r>
          </w:p>
          <w:p w14:paraId="22C68126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związku </w:t>
            </w:r>
            <w:r w:rsidRPr="00710CC0">
              <w:rPr>
                <w:rFonts w:ascii="Arial" w:hAnsi="Arial" w:cs="Arial"/>
                <w:sz w:val="20"/>
              </w:rPr>
              <w:t xml:space="preserve">z </w:t>
            </w:r>
            <w:r>
              <w:rPr>
                <w:rFonts w:ascii="Arial" w:hAnsi="Arial" w:cs="Arial"/>
                <w:sz w:val="20"/>
              </w:rPr>
              <w:t>realizacją</w:t>
            </w:r>
            <w:r w:rsidRPr="00710CC0">
              <w:rPr>
                <w:rFonts w:ascii="Arial" w:hAnsi="Arial" w:cs="Arial"/>
                <w:sz w:val="20"/>
              </w:rPr>
              <w:t xml:space="preserve"> przez firmę doradczą przedmiotu umowy nr </w:t>
            </w:r>
            <w:r>
              <w:rPr>
                <w:rFonts w:ascii="Arial" w:hAnsi="Arial" w:cs="Arial"/>
                <w:sz w:val="20"/>
              </w:rPr>
              <w:t xml:space="preserve">BA.WZP.26.2.85.2019.1 </w:t>
            </w:r>
            <w:r w:rsidRPr="00710CC0">
              <w:rPr>
                <w:rFonts w:ascii="Arial" w:hAnsi="Arial" w:cs="Arial"/>
                <w:sz w:val="20"/>
              </w:rPr>
              <w:t xml:space="preserve">w sposób </w:t>
            </w:r>
            <w:r>
              <w:rPr>
                <w:rFonts w:ascii="Arial" w:hAnsi="Arial" w:cs="Arial"/>
                <w:sz w:val="20"/>
              </w:rPr>
              <w:t>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14:paraId="345542BB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Przetarg na budowę nowych funkcjonalności Systemu PIT etap II ogłoszono w dniu 17 stycznia 2017 r. </w:t>
            </w:r>
          </w:p>
          <w:p w14:paraId="45EDD50D" w14:textId="77777777" w:rsidR="003F325D" w:rsidRPr="00696C44" w:rsidRDefault="003F325D" w:rsidP="003F325D">
            <w:pPr>
              <w:pStyle w:val="Default"/>
            </w:pPr>
            <w:r w:rsidRPr="008F6F7F">
              <w:rPr>
                <w:rFonts w:ascii="Arial" w:hAnsi="Arial" w:cs="Arial"/>
                <w:sz w:val="20"/>
              </w:rPr>
              <w:t xml:space="preserve">Zamawiający </w:t>
            </w:r>
            <w:r>
              <w:rPr>
                <w:rFonts w:ascii="Arial" w:hAnsi="Arial" w:cs="Arial"/>
                <w:sz w:val="20"/>
              </w:rPr>
              <w:t>unieważnił postępowanie</w:t>
            </w:r>
            <w:r w:rsidRPr="00957B90">
              <w:rPr>
                <w:rFonts w:ascii="Arial" w:hAnsi="Arial" w:cs="Arial"/>
                <w:sz w:val="20"/>
              </w:rPr>
              <w:t xml:space="preserve"> na podstawie</w:t>
            </w:r>
            <w:r>
              <w:rPr>
                <w:rFonts w:ascii="Arial" w:hAnsi="Arial" w:cs="Arial"/>
                <w:sz w:val="20"/>
              </w:rPr>
              <w:t>:</w:t>
            </w:r>
          </w:p>
          <w:p w14:paraId="50133AC0" w14:textId="77777777" w:rsidR="003F325D" w:rsidRPr="009E78B8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1) art. 90 ust. 3 ustawy </w:t>
            </w:r>
            <w:proofErr w:type="spellStart"/>
            <w:r w:rsidRPr="009E78B8">
              <w:rPr>
                <w:rFonts w:ascii="Arial" w:hAnsi="Arial" w:cs="Arial"/>
                <w:sz w:val="20"/>
              </w:rPr>
              <w:t>Pzp</w:t>
            </w:r>
            <w:proofErr w:type="spellEnd"/>
            <w:r w:rsidRPr="009E78B8">
              <w:rPr>
                <w:rFonts w:ascii="Arial" w:hAnsi="Arial" w:cs="Arial"/>
                <w:sz w:val="20"/>
              </w:rPr>
              <w:t xml:space="preserve"> - tj. z uwagi iż Konsorcjum nie udzieliło wyjaśnień, w tym </w:t>
            </w:r>
            <w:r w:rsidRPr="009E78B8">
              <w:rPr>
                <w:rFonts w:ascii="Arial" w:hAnsi="Arial" w:cs="Arial"/>
                <w:sz w:val="20"/>
              </w:rPr>
              <w:lastRenderedPageBreak/>
              <w:t xml:space="preserve">nie złożyło dowodów dotyczących wyliczenia ceny oferty; </w:t>
            </w:r>
          </w:p>
          <w:p w14:paraId="0CC1A83A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2) art. 89 ust. 1 pkt 2 </w:t>
            </w:r>
            <w:proofErr w:type="spellStart"/>
            <w:r w:rsidRPr="009E78B8">
              <w:rPr>
                <w:rFonts w:ascii="Arial" w:hAnsi="Arial" w:cs="Arial"/>
                <w:sz w:val="20"/>
              </w:rPr>
              <w:t>Pzp</w:t>
            </w:r>
            <w:proofErr w:type="spellEnd"/>
            <w:r w:rsidRPr="009E78B8">
              <w:rPr>
                <w:rFonts w:ascii="Arial" w:hAnsi="Arial" w:cs="Arial"/>
                <w:sz w:val="20"/>
              </w:rPr>
              <w:t xml:space="preserve"> – tj. z uwagi, iż treść oferty złożonej przez Konsorcjum nie odpowiada treści SIWZ; </w:t>
            </w:r>
          </w:p>
          <w:p w14:paraId="7C5F6FB1" w14:textId="77777777" w:rsidR="003F325D" w:rsidRDefault="008E1198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dniu 15</w:t>
            </w:r>
            <w:r w:rsidR="003F325D">
              <w:rPr>
                <w:rFonts w:ascii="Arial" w:hAnsi="Arial" w:cs="Arial"/>
                <w:sz w:val="20"/>
              </w:rPr>
              <w:t xml:space="preserve"> kwietnia 2020 r. ogłoszono ponownie postępowanie przetargowe na realizację powyższych prac.</w:t>
            </w:r>
          </w:p>
          <w:p w14:paraId="744CC319" w14:textId="77777777" w:rsidR="008E1198" w:rsidRPr="002B66FC" w:rsidRDefault="00593ACD" w:rsidP="00593AC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 xml:space="preserve">W dniu </w:t>
            </w:r>
            <w:r w:rsidR="008E1198" w:rsidRPr="002B7B75">
              <w:rPr>
                <w:rFonts w:ascii="Arial" w:hAnsi="Arial" w:cs="Arial"/>
                <w:sz w:val="20"/>
              </w:rPr>
              <w:t xml:space="preserve">19 czerwca 2020 r. </w:t>
            </w:r>
            <w:r w:rsidRPr="002B7B75">
              <w:rPr>
                <w:rFonts w:ascii="Arial" w:hAnsi="Arial" w:cs="Arial"/>
                <w:sz w:val="20"/>
              </w:rPr>
              <w:t>dokonano wyboru najkorzystniejszej</w:t>
            </w:r>
            <w:r w:rsidR="003E38DF">
              <w:rPr>
                <w:rFonts w:ascii="Arial" w:hAnsi="Arial" w:cs="Arial"/>
                <w:sz w:val="20"/>
              </w:rPr>
              <w:t xml:space="preserve"> oferty</w:t>
            </w:r>
            <w:r w:rsidRPr="002B7B75">
              <w:rPr>
                <w:rFonts w:ascii="Arial" w:hAnsi="Arial" w:cs="Arial"/>
                <w:sz w:val="20"/>
              </w:rPr>
              <w:t xml:space="preserve">. </w:t>
            </w:r>
            <w:r w:rsidRPr="002B7B75">
              <w:rPr>
                <w:rFonts w:ascii="Arial" w:hAnsi="Arial" w:cs="Arial"/>
                <w:sz w:val="20"/>
              </w:rPr>
              <w:br/>
            </w:r>
            <w:r w:rsidR="005D31FD" w:rsidRPr="002B7B75">
              <w:rPr>
                <w:rFonts w:ascii="Arial" w:hAnsi="Arial" w:cs="Arial"/>
                <w:sz w:val="20"/>
              </w:rPr>
              <w:t xml:space="preserve">W dniu 29 czerwca 2020 r. wpłynęło odwołanie </w:t>
            </w:r>
            <w:r w:rsidRPr="002B7B75">
              <w:rPr>
                <w:rFonts w:ascii="Arial" w:hAnsi="Arial" w:cs="Arial"/>
                <w:sz w:val="20"/>
              </w:rPr>
              <w:t xml:space="preserve">na wynik wyboru </w:t>
            </w:r>
            <w:r w:rsidR="005D31FD" w:rsidRPr="002B7B75">
              <w:rPr>
                <w:rFonts w:ascii="Arial" w:hAnsi="Arial" w:cs="Arial"/>
                <w:sz w:val="20"/>
              </w:rPr>
              <w:t>do K</w:t>
            </w:r>
            <w:r w:rsidRPr="002B7B75">
              <w:rPr>
                <w:rFonts w:ascii="Arial" w:hAnsi="Arial" w:cs="Arial"/>
                <w:sz w:val="20"/>
              </w:rPr>
              <w:t>rajowej Izby Odwoławczej</w:t>
            </w:r>
            <w:r w:rsidR="005D31FD" w:rsidRPr="002B7B75">
              <w:rPr>
                <w:rFonts w:ascii="Arial" w:hAnsi="Arial" w:cs="Arial"/>
                <w:sz w:val="20"/>
              </w:rPr>
              <w:t>.</w:t>
            </w:r>
            <w:r w:rsidR="005D31F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2D51D827" w14:textId="77777777" w:rsidTr="006B5117">
        <w:tc>
          <w:tcPr>
            <w:tcW w:w="2127" w:type="dxa"/>
          </w:tcPr>
          <w:p w14:paraId="62C0E2ED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765E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379FA693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14:paraId="02C6389D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14:paraId="09767F08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21F41EE4" w14:textId="77777777"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14:paraId="2DD760B6" w14:textId="77777777" w:rsidTr="006B5117">
        <w:tc>
          <w:tcPr>
            <w:tcW w:w="2127" w:type="dxa"/>
          </w:tcPr>
          <w:p w14:paraId="37DE17C3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6FE3" w14:textId="77777777"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35CB4A1B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14:paraId="52E6C433" w14:textId="77777777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7A01C2EC" w14:textId="77777777" w:rsidR="003F325D" w:rsidRPr="002B66FC" w:rsidRDefault="00821F6A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9417C9">
              <w:rPr>
                <w:rFonts w:ascii="Arial" w:hAnsi="Arial" w:cs="Arial"/>
                <w:sz w:val="20"/>
              </w:rPr>
              <w:t>08-2020</w:t>
            </w:r>
          </w:p>
        </w:tc>
        <w:tc>
          <w:tcPr>
            <w:tcW w:w="2802" w:type="dxa"/>
          </w:tcPr>
          <w:p w14:paraId="309FD53E" w14:textId="77777777" w:rsidR="003F325D" w:rsidRPr="002B7B75" w:rsidRDefault="00821F6A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  <w:r w:rsidR="003F325D" w:rsidRPr="002B7B75">
              <w:rPr>
                <w:rFonts w:ascii="Arial" w:hAnsi="Arial" w:cs="Arial"/>
                <w:sz w:val="20"/>
              </w:rPr>
              <w:t xml:space="preserve"> </w:t>
            </w:r>
          </w:p>
          <w:p w14:paraId="7EC46896" w14:textId="77777777" w:rsidR="003F325D" w:rsidRDefault="003F325D" w:rsidP="00B95ABE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Przekroczenie planowanego terminu osiągnięcia kamienia milowego wynika</w:t>
            </w:r>
            <w:r w:rsidR="00821F6A">
              <w:rPr>
                <w:rFonts w:ascii="Arial" w:hAnsi="Arial" w:cs="Arial"/>
                <w:sz w:val="20"/>
              </w:rPr>
              <w:t>ło</w:t>
            </w:r>
            <w:r w:rsidRPr="002B7B75">
              <w:rPr>
                <w:rFonts w:ascii="Arial" w:hAnsi="Arial" w:cs="Arial"/>
                <w:sz w:val="20"/>
              </w:rPr>
              <w:t xml:space="preserve">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>toczącego się 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  <w:p w14:paraId="4FED441E" w14:textId="77777777" w:rsidR="00821F6A" w:rsidRDefault="009A136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821F6A">
              <w:rPr>
                <w:rFonts w:ascii="Arial" w:hAnsi="Arial" w:cs="Arial"/>
                <w:sz w:val="20"/>
              </w:rPr>
              <w:t>24 lipca 2020 r. KIO oddaliła w całości odwołanie do postępowania i orzekła Wyrok na korzyść Zamawiającego</w:t>
            </w:r>
            <w:r w:rsidR="00DD4AAD">
              <w:rPr>
                <w:rFonts w:ascii="Arial" w:hAnsi="Arial" w:cs="Arial"/>
                <w:sz w:val="20"/>
              </w:rPr>
              <w:t>.</w:t>
            </w:r>
          </w:p>
          <w:p w14:paraId="5C5B1607" w14:textId="77777777" w:rsidR="00DD4AAD" w:rsidRDefault="00DD4AA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sierpnia 2020 r. została podpisana Umowa nr BA.WZP.26.1.7.2020.1 na rozbudowę Systemu PIT.</w:t>
            </w:r>
            <w:r w:rsidR="002E275F">
              <w:rPr>
                <w:rFonts w:ascii="Arial" w:hAnsi="Arial" w:cs="Arial"/>
                <w:sz w:val="20"/>
              </w:rPr>
              <w:t xml:space="preserve"> </w:t>
            </w:r>
          </w:p>
          <w:p w14:paraId="2D68F04C" w14:textId="77777777" w:rsidR="002E275F" w:rsidRPr="005E2119" w:rsidRDefault="005B6E2E" w:rsidP="0070666C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lastRenderedPageBreak/>
              <w:t>W dniu 08-03-2021 r</w:t>
            </w:r>
            <w:r w:rsidR="0053697F">
              <w:rPr>
                <w:rFonts w:ascii="Arial" w:hAnsi="Arial" w:cs="Arial"/>
                <w:sz w:val="20"/>
              </w:rPr>
              <w:t>. Zamawiający odstąpił od Umowy w całości z przyczyn leżących po stronie Wykonawcy, w tym z uwagi na uniemożliwienie przez Wykonawcę przeprowadzenia kontroli wykonania Umowy</w:t>
            </w:r>
            <w:r w:rsidR="0070666C">
              <w:rPr>
                <w:rFonts w:ascii="Arial" w:hAnsi="Arial" w:cs="Arial"/>
                <w:sz w:val="20"/>
              </w:rPr>
              <w:t xml:space="preserve"> oraz</w:t>
            </w:r>
            <w:r w:rsidR="0053697F">
              <w:rPr>
                <w:rFonts w:ascii="Arial" w:hAnsi="Arial" w:cs="Arial"/>
                <w:sz w:val="20"/>
              </w:rPr>
              <w:t xml:space="preserve"> opóźnienia Wykonawcy w wykonywaniu przedmiotu Umowy, wskazujące na prawdopodobieństwo nieukończenia przedmiotu Umowy w umówionym czasie</w:t>
            </w:r>
            <w:r w:rsidR="0070666C">
              <w:rPr>
                <w:rFonts w:ascii="Arial" w:hAnsi="Arial" w:cs="Arial"/>
                <w:sz w:val="20"/>
              </w:rPr>
              <w:t>.</w:t>
            </w:r>
            <w:r w:rsidR="0053697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45D3F75D" w14:textId="77777777" w:rsidTr="006B5117">
        <w:tc>
          <w:tcPr>
            <w:tcW w:w="2127" w:type="dxa"/>
          </w:tcPr>
          <w:p w14:paraId="3AA5FC6F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1C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1FFF460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14:paraId="034EE9DC" w14:textId="77777777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056E4E74" w14:textId="77777777"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14:paraId="73C46E17" w14:textId="77777777"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51C050CC" w14:textId="77777777"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Odbiór produktu nie był możliwy w planowanym terminie w związku z podpisaniem umowy na dostawę infrastruktury w dniu 17 marca 2020 r. Czas na realizację 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14:paraId="59E874C1" w14:textId="77777777"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14:paraId="037A93A9" w14:textId="77777777" w:rsidTr="006B5117">
        <w:tc>
          <w:tcPr>
            <w:tcW w:w="2127" w:type="dxa"/>
          </w:tcPr>
          <w:p w14:paraId="6FC59029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6BE2" w14:textId="77777777"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14:paraId="548F81A9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14:paraId="206E11F4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39B38426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14:paraId="36E17CB9" w14:textId="77777777" w:rsidR="00E56CF4" w:rsidRPr="002B66FC" w:rsidRDefault="00E56CF4" w:rsidP="00CC2DE6">
            <w:pPr>
              <w:rPr>
                <w:rFonts w:ascii="Arial" w:hAnsi="Arial" w:cs="Arial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 w:rsidR="00CC2DE6"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 w:rsidR="00CC2DE6"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 w:rsidR="00CC2DE6"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 w:rsidR="00CC2DE6">
              <w:rPr>
                <w:rFonts w:ascii="Arial" w:hAnsi="Arial" w:cs="Arial"/>
                <w:sz w:val="20"/>
              </w:rPr>
              <w:t xml:space="preserve"> w celu wyłonienia Wykonawcy </w:t>
            </w:r>
            <w:r w:rsidR="00CC2DE6" w:rsidRPr="00F867E0">
              <w:rPr>
                <w:rFonts w:ascii="Arial" w:hAnsi="Arial" w:cs="Arial"/>
                <w:sz w:val="20"/>
              </w:rPr>
              <w:t>budow</w:t>
            </w:r>
            <w:r w:rsidR="00CC2DE6">
              <w:rPr>
                <w:rFonts w:ascii="Arial" w:hAnsi="Arial" w:cs="Arial"/>
                <w:sz w:val="20"/>
              </w:rPr>
              <w:t>y</w:t>
            </w:r>
            <w:r w:rsidR="00CC2DE6"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 w:rsidR="00CC2DE6">
              <w:rPr>
                <w:rFonts w:ascii="Arial" w:hAnsi="Arial" w:cs="Arial"/>
                <w:sz w:val="20"/>
              </w:rPr>
              <w:t xml:space="preserve"> etap II</w:t>
            </w:r>
            <w:r w:rsidRPr="004F20E9">
              <w:rPr>
                <w:rFonts w:ascii="Arial" w:hAnsi="Arial" w:cs="Arial"/>
                <w:sz w:val="20"/>
              </w:rPr>
              <w:t xml:space="preserve"> planowany termin osiągnięcia kamienia milowego nie jest możliwy do zrealizowania w wyznaczonym czasie.</w:t>
            </w:r>
          </w:p>
        </w:tc>
      </w:tr>
      <w:tr w:rsidR="003F325D" w:rsidRPr="002B50C0" w14:paraId="40F038F1" w14:textId="77777777" w:rsidTr="006B5117">
        <w:tc>
          <w:tcPr>
            <w:tcW w:w="2127" w:type="dxa"/>
          </w:tcPr>
          <w:p w14:paraId="107F74B1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69EB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5681803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14:paraId="656E1B68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4C1E4956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64ED884B" w14:textId="77777777" w:rsidTr="006B5117">
        <w:tc>
          <w:tcPr>
            <w:tcW w:w="2127" w:type="dxa"/>
          </w:tcPr>
          <w:p w14:paraId="5AC54114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E79B3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14:paraId="2F6FB546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14:paraId="6B8A11D3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KPI 4 = 1 szt.</w:t>
            </w:r>
          </w:p>
        </w:tc>
        <w:tc>
          <w:tcPr>
            <w:tcW w:w="1289" w:type="dxa"/>
          </w:tcPr>
          <w:p w14:paraId="2ADAABDD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14:paraId="21FFF974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7411AB8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666F1A83" w14:textId="77777777" w:rsidTr="006B5117">
        <w:tc>
          <w:tcPr>
            <w:tcW w:w="2127" w:type="dxa"/>
          </w:tcPr>
          <w:p w14:paraId="07929F0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C993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3043C89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14:paraId="33725D69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45764CDA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14:paraId="4F591331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6962CA7D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74225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A3A72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44FB4F2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0DD6979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92444A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F6BE5FB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14:paraId="452148AE" w14:textId="77777777" w:rsidTr="00047D9D">
        <w:tc>
          <w:tcPr>
            <w:tcW w:w="2545" w:type="dxa"/>
          </w:tcPr>
          <w:p w14:paraId="0DFF0471" w14:textId="77777777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14:paraId="0B5A0D2A" w14:textId="77777777"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18B7BAE2" w14:textId="77777777"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14:paraId="5B893389" w14:textId="77777777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8AFAE4" w14:textId="77777777" w:rsidR="003F325D" w:rsidRPr="0091332C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23C7DACA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1E416CDA" w14:textId="77777777" w:rsidTr="00047D9D">
        <w:tc>
          <w:tcPr>
            <w:tcW w:w="2545" w:type="dxa"/>
          </w:tcPr>
          <w:p w14:paraId="28EE1820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14:paraId="51204017" w14:textId="77777777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5D47A299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2035A52B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14:paraId="450E3771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14:paraId="4D71B53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2F036671" w14:textId="77777777" w:rsidTr="00047D9D">
        <w:tc>
          <w:tcPr>
            <w:tcW w:w="2545" w:type="dxa"/>
          </w:tcPr>
          <w:p w14:paraId="4EF99C52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14:paraId="58EEC74F" w14:textId="77777777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5B61138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3636856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14:paraId="64A94B3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14:paraId="4DB8362E" w14:textId="77777777" w:rsidR="003F325D" w:rsidRDefault="005C42C3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3F325D" w:rsidRPr="002B50C0" w14:paraId="66509646" w14:textId="77777777" w:rsidTr="00047D9D">
        <w:tc>
          <w:tcPr>
            <w:tcW w:w="2545" w:type="dxa"/>
          </w:tcPr>
          <w:p w14:paraId="307DCDD3" w14:textId="77777777" w:rsidR="003F325D" w:rsidRPr="00FA6DC0" w:rsidRDefault="00765A10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F325D" w:rsidRPr="00F867E0">
              <w:rPr>
                <w:rFonts w:ascii="Arial" w:hAnsi="Arial" w:cs="Arial"/>
                <w:sz w:val="20"/>
              </w:rPr>
              <w:t>mniejszenie liczby instytucji zaangażowanych w realizację procesu</w:t>
            </w:r>
          </w:p>
        </w:tc>
        <w:tc>
          <w:tcPr>
            <w:tcW w:w="1278" w:type="dxa"/>
          </w:tcPr>
          <w:p w14:paraId="654DEA25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91C8D1E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575EA584" w14:textId="77777777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6500AF43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24134B95" w14:textId="77777777" w:rsidTr="00047D9D">
        <w:tc>
          <w:tcPr>
            <w:tcW w:w="2545" w:type="dxa"/>
          </w:tcPr>
          <w:p w14:paraId="3CA1DBB7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2876BE9E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6E7B83A5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14:paraId="13763F6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14:paraId="3A6A88EA" w14:textId="77777777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8E6A088" w14:textId="77777777" w:rsidTr="00047D9D">
        <w:tc>
          <w:tcPr>
            <w:tcW w:w="2545" w:type="dxa"/>
          </w:tcPr>
          <w:p w14:paraId="13474D0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3163AED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837FE2B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14:paraId="771EA610" w14:textId="77777777" w:rsidR="003F325D" w:rsidRPr="00FA6DC0" w:rsidRDefault="00024FDE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3F325D" w:rsidRPr="006B0E7F">
              <w:rPr>
                <w:rFonts w:ascii="Arial" w:hAnsi="Arial" w:cs="Arial"/>
                <w:sz w:val="20"/>
              </w:rPr>
              <w:t>-2021</w:t>
            </w:r>
          </w:p>
        </w:tc>
        <w:tc>
          <w:tcPr>
            <w:tcW w:w="2268" w:type="dxa"/>
          </w:tcPr>
          <w:p w14:paraId="6DD5A9F9" w14:textId="77777777" w:rsidR="003F325D" w:rsidRPr="007B44F4" w:rsidRDefault="002577C8" w:rsidP="002577C8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</w:tr>
      <w:tr w:rsidR="003F325D" w:rsidRPr="002B50C0" w14:paraId="2CBCA989" w14:textId="77777777" w:rsidTr="00047D9D">
        <w:tc>
          <w:tcPr>
            <w:tcW w:w="2545" w:type="dxa"/>
          </w:tcPr>
          <w:p w14:paraId="02A94A9E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14:paraId="33A02E45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231BE09E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14:paraId="7F84C5D1" w14:textId="77777777"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14:paraId="23A5DA83" w14:textId="77777777"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1918501C" w14:textId="77777777" w:rsidTr="00047D9D">
        <w:tc>
          <w:tcPr>
            <w:tcW w:w="2545" w:type="dxa"/>
          </w:tcPr>
          <w:p w14:paraId="5CC0AD5B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Wzrost liczby gospodarstw domowych objętych zasięgiem sieci o przepustowości dla łącza „w dół” wynoszącej co najmniej 100 </w:t>
            </w:r>
            <w:proofErr w:type="spellStart"/>
            <w:r w:rsidRPr="00F867E0">
              <w:rPr>
                <w:rFonts w:ascii="Arial" w:hAnsi="Arial" w:cs="Arial"/>
                <w:sz w:val="20"/>
              </w:rPr>
              <w:t>Mb</w:t>
            </w:r>
            <w:proofErr w:type="spellEnd"/>
            <w:r w:rsidRPr="00F867E0">
              <w:rPr>
                <w:rFonts w:ascii="Arial" w:hAnsi="Arial" w:cs="Arial"/>
                <w:sz w:val="20"/>
              </w:rPr>
              <w:t>/s</w:t>
            </w:r>
          </w:p>
        </w:tc>
        <w:tc>
          <w:tcPr>
            <w:tcW w:w="1278" w:type="dxa"/>
          </w:tcPr>
          <w:p w14:paraId="66C76BED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14:paraId="0B844435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14:paraId="6C396850" w14:textId="77777777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14:paraId="7163B4B4" w14:textId="77777777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54C5F93E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6906D33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9F7ACC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DABD4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415C19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1B006E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3BE419F7" w14:textId="77777777" w:rsidTr="00517F12">
        <w:tc>
          <w:tcPr>
            <w:tcW w:w="2937" w:type="dxa"/>
          </w:tcPr>
          <w:p w14:paraId="45E0ECDF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14:paraId="60EBFA55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14:paraId="57EF681E" w14:textId="77777777"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167A2D8E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8324E37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6CEF8592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2DDF09F5" w14:textId="77777777" w:rsidTr="00517F12">
        <w:tc>
          <w:tcPr>
            <w:tcW w:w="2937" w:type="dxa"/>
          </w:tcPr>
          <w:p w14:paraId="38C4F02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14:paraId="763EA0D9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5BAD8F01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2C54020A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31B0A6E8" w14:textId="77777777" w:rsidTr="00517F12">
        <w:tc>
          <w:tcPr>
            <w:tcW w:w="2937" w:type="dxa"/>
          </w:tcPr>
          <w:p w14:paraId="608DCB0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14:paraId="3AB3A3C4" w14:textId="77777777" w:rsidR="003F325D" w:rsidRPr="00FA6DC0" w:rsidRDefault="00192A1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189E5B37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0E1E0BA0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08FCFAB0" w14:textId="77777777" w:rsidTr="00517F12">
        <w:tc>
          <w:tcPr>
            <w:tcW w:w="2937" w:type="dxa"/>
          </w:tcPr>
          <w:p w14:paraId="60FFEB72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14:paraId="54F85419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55BF1B32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1F833E62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14:paraId="6C29F78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0D566F8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10A85E3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BBF08A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ABB57B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21D78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0A1024CE" w14:textId="77777777" w:rsidTr="00C6751B">
        <w:tc>
          <w:tcPr>
            <w:tcW w:w="2937" w:type="dxa"/>
          </w:tcPr>
          <w:p w14:paraId="480034FA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14:paraId="4AFD2C7E" w14:textId="77777777" w:rsidR="003F325D" w:rsidRPr="00192A1D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6DA0B729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99F947C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21EAA2C0" w14:textId="77777777" w:rsidTr="00C6751B">
        <w:tc>
          <w:tcPr>
            <w:tcW w:w="2937" w:type="dxa"/>
          </w:tcPr>
          <w:p w14:paraId="28609874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14:paraId="1CC554A9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94DABEA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3C905A7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0FA845CA" w14:textId="77777777" w:rsidTr="00C6751B">
        <w:tc>
          <w:tcPr>
            <w:tcW w:w="2937" w:type="dxa"/>
          </w:tcPr>
          <w:p w14:paraId="41725360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14:paraId="59F5697B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36DC8B3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5D4CC23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35110106" w14:textId="77777777" w:rsidTr="00C6751B">
        <w:tc>
          <w:tcPr>
            <w:tcW w:w="2937" w:type="dxa"/>
          </w:tcPr>
          <w:p w14:paraId="458A1F83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14:paraId="5EE7C938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7D1F410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30DD77F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29619D24" w14:textId="77777777" w:rsidTr="00C6751B">
        <w:tc>
          <w:tcPr>
            <w:tcW w:w="2937" w:type="dxa"/>
          </w:tcPr>
          <w:p w14:paraId="68610D82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14:paraId="6E501542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114C676F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B28DAE0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662AA204" w14:textId="77777777" w:rsidTr="00C6751B">
        <w:tc>
          <w:tcPr>
            <w:tcW w:w="2937" w:type="dxa"/>
          </w:tcPr>
          <w:p w14:paraId="20D638C9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Węzeł własny lub współdzielony – urządzenie telekomunikacyjne lub zespół urządzeń </w:t>
            </w:r>
            <w:r w:rsidRPr="00F867E0">
              <w:rPr>
                <w:rFonts w:ascii="Arial" w:hAnsi="Arial" w:cs="Arial"/>
                <w:sz w:val="20"/>
              </w:rPr>
              <w:lastRenderedPageBreak/>
              <w:t>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14:paraId="554D2E2A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lastRenderedPageBreak/>
              <w:t>04-2022</w:t>
            </w:r>
          </w:p>
        </w:tc>
        <w:tc>
          <w:tcPr>
            <w:tcW w:w="1134" w:type="dxa"/>
          </w:tcPr>
          <w:p w14:paraId="0CF0F57A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305F23C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00626222" w14:textId="77777777" w:rsidTr="00C6751B">
        <w:tc>
          <w:tcPr>
            <w:tcW w:w="2937" w:type="dxa"/>
          </w:tcPr>
          <w:p w14:paraId="0C965277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14:paraId="7DE65EFE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09D72638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DE1F435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95B73C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5555D86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474EFA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1A026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1DA05A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416A26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361ADC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14:paraId="3F9361CE" w14:textId="77777777" w:rsidTr="006251DB">
        <w:tc>
          <w:tcPr>
            <w:tcW w:w="2547" w:type="dxa"/>
          </w:tcPr>
          <w:p w14:paraId="16F1C588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14:paraId="5433C2CE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0C52EDA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07A34F1E" w14:textId="77777777" w:rsidR="003F325D" w:rsidRPr="00F9223E" w:rsidRDefault="00124808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1.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Punkt Informacyjny ds. Telekomunikacji</w:t>
            </w:r>
          </w:p>
          <w:p w14:paraId="1F1EF749" w14:textId="77777777"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020166A4" w14:textId="77777777"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  <w:p w14:paraId="0ACB611F" w14:textId="77777777" w:rsidR="00124808" w:rsidRPr="00F9223E" w:rsidRDefault="00713067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2.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Rejestr pozwoleń na budowę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 prowadzony przez Główny Urząd Nadzoru Budowlanego</w:t>
            </w:r>
          </w:p>
          <w:p w14:paraId="375996F1" w14:textId="77777777" w:rsidR="00713067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Opis zależności: Korzystanie – poprzez usługi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>dostępne w ramach RWDZ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prezentowane będą dane przestrzenne </w:t>
            </w:r>
          </w:p>
          <w:p w14:paraId="03005A43" w14:textId="77777777" w:rsidR="0045267F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7038C434" w14:textId="77777777" w:rsidTr="006251DB">
        <w:tc>
          <w:tcPr>
            <w:tcW w:w="2547" w:type="dxa"/>
          </w:tcPr>
          <w:p w14:paraId="141BEEC9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14:paraId="0EA4626C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53609510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B4359C2" w14:textId="77777777" w:rsidR="00124808" w:rsidRPr="0070498E" w:rsidRDefault="00124808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1. Punkt Informacyjny ds. Telekomunikacji</w:t>
            </w:r>
          </w:p>
          <w:p w14:paraId="21D7443D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5A61AD0D" w14:textId="77777777"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161EBAAD" w14:textId="77777777" w:rsidTr="006251DB">
        <w:tc>
          <w:tcPr>
            <w:tcW w:w="2547" w:type="dxa"/>
          </w:tcPr>
          <w:p w14:paraId="4CCC0217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14:paraId="4979084B" w14:textId="77777777" w:rsidR="003F325D" w:rsidRPr="0096116A" w:rsidRDefault="00124808" w:rsidP="004A5E99">
            <w:pPr>
              <w:rPr>
                <w:rFonts w:ascii="Arial" w:hAnsi="Arial" w:cs="Arial"/>
                <w:sz w:val="20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 w:rsidR="004A5E99">
              <w:rPr>
                <w:rFonts w:ascii="Arial" w:hAnsi="Arial" w:cs="Arial"/>
                <w:sz w:val="20"/>
                <w:lang w:eastAsia="pl-PL"/>
              </w:rPr>
              <w:t>1</w:t>
            </w:r>
            <w:r w:rsidR="003F325D"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33FFA37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86EE913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21F03042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lastRenderedPageBreak/>
              <w:t>Opis zależności: uzupełnianie się/wymiana dwustronna – System Punkt Informacyjny ds. Telekomunikacji etap II stanowi rozbudowę funkcjonującej obecnie wersji systemu</w:t>
            </w:r>
          </w:p>
          <w:p w14:paraId="167809DA" w14:textId="77777777"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04C20DE9" w14:textId="77777777" w:rsidTr="006251DB">
        <w:tc>
          <w:tcPr>
            <w:tcW w:w="2547" w:type="dxa"/>
          </w:tcPr>
          <w:p w14:paraId="33EC4774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Zgłaszanie popytu na usługi szerokopasmowe -  narzędzie umożliwiające zgłoszenie zainteresowania dodatkowymi usługami poza tymi, które już są dostępne w danym miejscu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0A7E075C" w14:textId="77777777" w:rsidR="003F325D" w:rsidRPr="00124808" w:rsidRDefault="002D5C63" w:rsidP="003F325D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1</w:t>
            </w:r>
            <w:r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1FECFC36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946866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15760785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6C0B3375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69D0DC40" w14:textId="77777777" w:rsidTr="006251DB">
        <w:tc>
          <w:tcPr>
            <w:tcW w:w="2547" w:type="dxa"/>
          </w:tcPr>
          <w:p w14:paraId="239C679B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Model jakości danych dla infrastruktury i usług telekomunikacyjnych</w:t>
            </w:r>
            <w:r w:rsidR="001E5C4F" w:rsidRPr="0045267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423F757B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178AD72A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46D13D0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279DFD30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7306E01E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0AAF757D" w14:textId="77777777" w:rsidTr="006251DB">
        <w:tc>
          <w:tcPr>
            <w:tcW w:w="2547" w:type="dxa"/>
          </w:tcPr>
          <w:p w14:paraId="0C9E7F1C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377F1250" w14:textId="77777777" w:rsidR="003F325D" w:rsidRPr="002D5C63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2D5C63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20EE694C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54A411A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3CB08100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5A51AEE5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4012EC32" w14:textId="77777777" w:rsidTr="006251DB">
        <w:tc>
          <w:tcPr>
            <w:tcW w:w="2547" w:type="dxa"/>
          </w:tcPr>
          <w:p w14:paraId="083AFE47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14:paraId="5A39904E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6D61E81C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14:paraId="601269F7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D7802DF" w14:textId="77777777" w:rsidR="003F325D" w:rsidRPr="0070498E" w:rsidRDefault="00124808" w:rsidP="003F325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14:paraId="30FC0312" w14:textId="77777777" w:rsidR="00BB059E" w:rsidRPr="00166F4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66F4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66F4A">
        <w:rPr>
          <w:rFonts w:ascii="Arial" w:hAnsi="Arial" w:cs="Arial"/>
          <w:color w:val="0070C0"/>
        </w:rPr>
        <w:t xml:space="preserve"> </w:t>
      </w:r>
      <w:r w:rsidR="00B41415" w:rsidRPr="00166F4A">
        <w:rPr>
          <w:rFonts w:ascii="Arial" w:hAnsi="Arial" w:cs="Arial"/>
          <w:color w:val="0070C0"/>
        </w:rPr>
        <w:t xml:space="preserve"> 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66F4A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F0E9943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2971FD38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E1A835E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A2E99CB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8CEE94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4D7E4D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14:paraId="195A5970" w14:textId="77777777" w:rsidTr="00004034">
        <w:tc>
          <w:tcPr>
            <w:tcW w:w="3265" w:type="dxa"/>
            <w:vAlign w:val="center"/>
          </w:tcPr>
          <w:p w14:paraId="150C1846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14:paraId="0C0C017C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14:paraId="43A1B389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D715F2B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15CCAA3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0FD6BD23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stabilny kadrowo zespół projektowy w całym okresie realizacji projektu. </w:t>
            </w:r>
          </w:p>
          <w:p w14:paraId="3C22AD2D" w14:textId="77777777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096CF981" w14:textId="77777777" w:rsidTr="009417C9">
        <w:tc>
          <w:tcPr>
            <w:tcW w:w="3265" w:type="dxa"/>
            <w:vAlign w:val="center"/>
          </w:tcPr>
          <w:p w14:paraId="3A25D91B" w14:textId="77777777"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Otrzymanie produktów nieodpowiadających wymaganiom zawartym w opisie przedmiotu zamówienia lub niskiej jakości.</w:t>
            </w:r>
          </w:p>
          <w:p w14:paraId="5906BC38" w14:textId="77777777"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726FA142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3F8A56EA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9352540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14:paraId="46E2E4B6" w14:textId="77777777" w:rsidR="003F325D" w:rsidRPr="00943356" w:rsidRDefault="00D51D90" w:rsidP="00E2396E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2930C7D1" w14:textId="77777777" w:rsidTr="00004034">
        <w:tc>
          <w:tcPr>
            <w:tcW w:w="3265" w:type="dxa"/>
            <w:vAlign w:val="center"/>
          </w:tcPr>
          <w:p w14:paraId="34AC861B" w14:textId="77777777" w:rsidR="003F325D" w:rsidRP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14:paraId="59A19525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26E39664" w14:textId="77777777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40D4E07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14:paraId="0D7711E7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14:paraId="2BF6769A" w14:textId="77777777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957565" w14:paraId="3E14875D" w14:textId="77777777" w:rsidTr="00D34ED6">
        <w:tc>
          <w:tcPr>
            <w:tcW w:w="3265" w:type="dxa"/>
            <w:hideMark/>
          </w:tcPr>
          <w:p w14:paraId="4F6E568C" w14:textId="77777777" w:rsidR="00957565" w:rsidRDefault="00957565" w:rsidP="00D34ED6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 xml:space="preserve">Niezrealizowanie przedmiotu umowy na budowę Systemu PIT etap II z winy Wykonawcy </w:t>
            </w:r>
          </w:p>
        </w:tc>
        <w:tc>
          <w:tcPr>
            <w:tcW w:w="1697" w:type="dxa"/>
            <w:hideMark/>
          </w:tcPr>
          <w:p w14:paraId="56FB067C" w14:textId="77777777" w:rsidR="00957565" w:rsidRDefault="00957565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hideMark/>
          </w:tcPr>
          <w:p w14:paraId="7734A3C7" w14:textId="77777777" w:rsidR="00957565" w:rsidRDefault="002D5C63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  <w:hideMark/>
          </w:tcPr>
          <w:p w14:paraId="397BF63D" w14:textId="77777777" w:rsidR="00897F15" w:rsidRPr="00897F15" w:rsidRDefault="00B257AE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dniu 08-03-2021 r. Zama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wiający odstąpił od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Umowy w całości z przyczyn leżą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cych po stronie Wykona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wcy, w tym z uwagi na uniemożli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wienie przez Wykonawcę 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przeprowadzenia kontroli wykonania Umowy oraz opóźnienia Wykonawcy w wykonywaniu przedmiotu Umowy, wskazu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jące na prawdopodobieństwo nieukończenia przedmiotu Umo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wy w umówionym czasie.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6258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celu wyłonienia nowego Wykonawcy uruchomiono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postępowania </w:t>
            </w:r>
            <w:r w:rsidR="004F20E9" w:rsidRPr="004F20E9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prowadzone w trybie negocjacji bez ogłoszenia określone w art. 208-212 ustawy z dnia 11 września 2019 r. – Prawo zamówień publicznych (Dz. U. z 2019 r. poz. 2019 z </w:t>
            </w:r>
            <w:proofErr w:type="spellStart"/>
            <w:r w:rsidR="004F20E9" w:rsidRPr="004F20E9">
              <w:rPr>
                <w:rFonts w:ascii="Arial" w:hAnsi="Arial" w:cs="Arial"/>
                <w:sz w:val="20"/>
                <w:szCs w:val="20"/>
                <w:lang w:eastAsia="pl-PL"/>
              </w:rPr>
              <w:t>poźn</w:t>
            </w:r>
            <w:proofErr w:type="spellEnd"/>
            <w:r w:rsidR="004F20E9" w:rsidRPr="004F20E9">
              <w:rPr>
                <w:rFonts w:ascii="Arial" w:hAnsi="Arial" w:cs="Arial"/>
                <w:sz w:val="20"/>
                <w:szCs w:val="20"/>
                <w:lang w:eastAsia="pl-PL"/>
              </w:rPr>
              <w:t>. zm.)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897F1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Pierwsze postępowanie zostało unieważnione </w:t>
            </w:r>
            <w:r w:rsidR="00897F15" w:rsidRPr="00897F15">
              <w:rPr>
                <w:rFonts w:ascii="Arial" w:hAnsi="Arial" w:cs="Arial"/>
                <w:sz w:val="20"/>
                <w:szCs w:val="20"/>
                <w:lang w:eastAsia="pl-PL"/>
              </w:rPr>
              <w:t>z uwagi na fakt, iż przed upływem terminu składania ofert</w:t>
            </w:r>
          </w:p>
          <w:p w14:paraId="63A26031" w14:textId="77777777" w:rsidR="00957565" w:rsidRDefault="00897F15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Wykonawcy uczestniczący w postępowaniu odmówili udziału w negocjacjach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Drugie postępowanie zostało unieważnione w wyniku niezłożenia przez Wykonawcę wymaganego zabezpieczenia należytego wykonania umowy, a tym samym odstąpienie Wykonawcy od jej podpisania.</w:t>
            </w:r>
          </w:p>
          <w:p w14:paraId="6751366D" w14:textId="77777777" w:rsidR="006C171F" w:rsidRDefault="00897F15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związku z unieważnieniem wskazanych wyżej postępowań rozpoczęto prace nad uruchomienie</w:t>
            </w:r>
            <w:r w:rsidR="00CC2DE6">
              <w:rPr>
                <w:rFonts w:ascii="Arial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postępowania </w:t>
            </w:r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w trybie przetargu nieograniczonego określonego w art. 132-139 ustawy z dnia 11 września 2019 r. – Prawo zamówień publicznych (</w:t>
            </w:r>
            <w:proofErr w:type="spellStart"/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. Dz. U. z 2021 r. poz. 1129)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31A1F2C1" w14:textId="77777777" w:rsidR="00897F15" w:rsidRDefault="00CC2DE6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Spodziewany efekt: podpisanie umowy z nowym Wykonawcą.</w:t>
            </w:r>
          </w:p>
          <w:p w14:paraId="2CEA92F5" w14:textId="77777777" w:rsidR="00914D84" w:rsidRDefault="00914D84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3499C3C4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9F80CE6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157DE91F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C138D1A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518E51A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719FB4D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ACA7F2F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14:paraId="25D16E9E" w14:textId="7777777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A6502D6" w14:textId="77777777" w:rsidR="003F325D" w:rsidRPr="0091332C" w:rsidRDefault="003F325D" w:rsidP="009417C9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02A848A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A2B6FD5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1F6E2615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14:paraId="5FB7B617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14:paraId="7B802BF8" w14:textId="7777777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E8D6A34" w14:textId="77777777" w:rsidR="003F325D" w:rsidRPr="004B7B1B" w:rsidRDefault="003F325D" w:rsidP="009417C9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2303FAE" w14:textId="7777777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007DA8A" w14:textId="7777777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857C24A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14:paraId="39C568C6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14:paraId="6551503D" w14:textId="77777777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14:paraId="7F23B3F0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7BAFF4B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7BE09285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7161F3F2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1" w:name="_Hlk18274354"/>
    </w:p>
    <w:p w14:paraId="55D88007" w14:textId="77777777" w:rsidR="00F848D6" w:rsidRPr="00FB42E9" w:rsidRDefault="00166F4A" w:rsidP="00F848D6">
      <w:pPr>
        <w:rPr>
          <w:rFonts w:ascii="Arial" w:hAnsi="Arial" w:cs="Arial"/>
        </w:rPr>
      </w:pPr>
      <w:r w:rsidRPr="00166F4A">
        <w:rPr>
          <w:rFonts w:ascii="Arial" w:hAnsi="Arial" w:cs="Arial"/>
        </w:rPr>
        <w:t xml:space="preserve">Katarzyna Stradowska-Cholewa – Ekspert, Biuro Prezesa; katarzyna.stradowska-cholewa@uke.gov.pl  tel.: 225349303 </w:t>
      </w:r>
    </w:p>
    <w:bookmarkEnd w:id="1"/>
    <w:p w14:paraId="6DB462C8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3C3E957B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47F96F38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472C8186" w14:textId="77777777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22AA5" w14:textId="77777777" w:rsidR="003B7FC8" w:rsidRDefault="003B7FC8" w:rsidP="00BB2420">
      <w:pPr>
        <w:spacing w:after="0" w:line="240" w:lineRule="auto"/>
      </w:pPr>
      <w:r>
        <w:separator/>
      </w:r>
    </w:p>
  </w:endnote>
  <w:endnote w:type="continuationSeparator" w:id="0">
    <w:p w14:paraId="743BB93C" w14:textId="77777777" w:rsidR="003B7FC8" w:rsidRDefault="003B7FC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E83144" w14:textId="77777777" w:rsidR="00B5205A" w:rsidRDefault="00B520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171F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171F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B6C9D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A06D" w14:textId="77777777" w:rsidR="003B7FC8" w:rsidRDefault="003B7FC8" w:rsidP="00BB2420">
      <w:pPr>
        <w:spacing w:after="0" w:line="240" w:lineRule="auto"/>
      </w:pPr>
      <w:r>
        <w:separator/>
      </w:r>
    </w:p>
  </w:footnote>
  <w:footnote w:type="continuationSeparator" w:id="0">
    <w:p w14:paraId="2E1CA9BE" w14:textId="77777777" w:rsidR="003B7FC8" w:rsidRDefault="003B7FC8" w:rsidP="00BB2420">
      <w:pPr>
        <w:spacing w:after="0" w:line="240" w:lineRule="auto"/>
      </w:pPr>
      <w:r>
        <w:continuationSeparator/>
      </w:r>
    </w:p>
  </w:footnote>
  <w:footnote w:id="1">
    <w:p w14:paraId="4527B435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83A3C"/>
    <w:multiLevelType w:val="multilevel"/>
    <w:tmpl w:val="B3926BC2"/>
    <w:numStyleLink w:val="Zaimportowanystyl1"/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365E"/>
    <w:multiLevelType w:val="multilevel"/>
    <w:tmpl w:val="B3926BC2"/>
    <w:styleLink w:val="Zaimportowanystyl1"/>
    <w:lvl w:ilvl="0">
      <w:start w:val="1"/>
      <w:numFmt w:val="decimal"/>
      <w:lvlText w:val="%1."/>
      <w:lvlJc w:val="left"/>
      <w:pPr>
        <w:ind w:left="78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440" w:firstLine="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1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88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6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5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04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7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6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21"/>
  </w:num>
  <w:num w:numId="13">
    <w:abstractNumId w:val="18"/>
  </w:num>
  <w:num w:numId="14">
    <w:abstractNumId w:val="1"/>
  </w:num>
  <w:num w:numId="15">
    <w:abstractNumId w:val="23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4"/>
  </w:num>
  <w:num w:numId="21">
    <w:abstractNumId w:val="16"/>
  </w:num>
  <w:num w:numId="22">
    <w:abstractNumId w:val="10"/>
  </w:num>
  <w:num w:numId="23">
    <w:abstractNumId w:val="8"/>
  </w:num>
  <w:num w:numId="24">
    <w:abstractNumId w:val="14"/>
  </w:num>
  <w:num w:numId="25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1440" w:hanging="475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288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36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45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504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57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66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334"/>
    <w:rsid w:val="00006E59"/>
    <w:rsid w:val="00024FDE"/>
    <w:rsid w:val="00043DD9"/>
    <w:rsid w:val="00044D68"/>
    <w:rsid w:val="00047D9D"/>
    <w:rsid w:val="0006112E"/>
    <w:rsid w:val="0006403E"/>
    <w:rsid w:val="0006448D"/>
    <w:rsid w:val="00070663"/>
    <w:rsid w:val="00071880"/>
    <w:rsid w:val="00084E5B"/>
    <w:rsid w:val="00087231"/>
    <w:rsid w:val="00095944"/>
    <w:rsid w:val="000A1DFB"/>
    <w:rsid w:val="000A2F32"/>
    <w:rsid w:val="000A3938"/>
    <w:rsid w:val="000A54E1"/>
    <w:rsid w:val="000B059E"/>
    <w:rsid w:val="000B3E49"/>
    <w:rsid w:val="000C5189"/>
    <w:rsid w:val="000E0060"/>
    <w:rsid w:val="000E1828"/>
    <w:rsid w:val="000E4BF8"/>
    <w:rsid w:val="000F20A9"/>
    <w:rsid w:val="000F307B"/>
    <w:rsid w:val="000F30B9"/>
    <w:rsid w:val="000F5B25"/>
    <w:rsid w:val="0011693F"/>
    <w:rsid w:val="00122388"/>
    <w:rsid w:val="00124808"/>
    <w:rsid w:val="00124C3D"/>
    <w:rsid w:val="001309CA"/>
    <w:rsid w:val="0013526E"/>
    <w:rsid w:val="00141A92"/>
    <w:rsid w:val="001441D4"/>
    <w:rsid w:val="00145E84"/>
    <w:rsid w:val="0015102C"/>
    <w:rsid w:val="00152568"/>
    <w:rsid w:val="00153381"/>
    <w:rsid w:val="00162702"/>
    <w:rsid w:val="00166F4A"/>
    <w:rsid w:val="00176FBB"/>
    <w:rsid w:val="00181E97"/>
    <w:rsid w:val="00182A08"/>
    <w:rsid w:val="001852C9"/>
    <w:rsid w:val="00192136"/>
    <w:rsid w:val="00192A1D"/>
    <w:rsid w:val="0019546B"/>
    <w:rsid w:val="001A2EF2"/>
    <w:rsid w:val="001A309E"/>
    <w:rsid w:val="001A75AE"/>
    <w:rsid w:val="001C2D74"/>
    <w:rsid w:val="001C5859"/>
    <w:rsid w:val="001C7FAC"/>
    <w:rsid w:val="001D1A3D"/>
    <w:rsid w:val="001D35CE"/>
    <w:rsid w:val="001D4AA9"/>
    <w:rsid w:val="001E0CAC"/>
    <w:rsid w:val="001E16A3"/>
    <w:rsid w:val="001E1DEA"/>
    <w:rsid w:val="001E5C4F"/>
    <w:rsid w:val="001E7199"/>
    <w:rsid w:val="001F24A0"/>
    <w:rsid w:val="001F67EC"/>
    <w:rsid w:val="0020330A"/>
    <w:rsid w:val="00230875"/>
    <w:rsid w:val="00237279"/>
    <w:rsid w:val="00240D69"/>
    <w:rsid w:val="00241B5E"/>
    <w:rsid w:val="00252087"/>
    <w:rsid w:val="00254B6F"/>
    <w:rsid w:val="002577C8"/>
    <w:rsid w:val="00262A5A"/>
    <w:rsid w:val="00263392"/>
    <w:rsid w:val="00265194"/>
    <w:rsid w:val="00265C13"/>
    <w:rsid w:val="00276C00"/>
    <w:rsid w:val="002825F1"/>
    <w:rsid w:val="00292B69"/>
    <w:rsid w:val="00293351"/>
    <w:rsid w:val="00294349"/>
    <w:rsid w:val="002A3C02"/>
    <w:rsid w:val="002A5452"/>
    <w:rsid w:val="002B0951"/>
    <w:rsid w:val="002B4889"/>
    <w:rsid w:val="002B50C0"/>
    <w:rsid w:val="002B6F21"/>
    <w:rsid w:val="002B7B75"/>
    <w:rsid w:val="002D3D4A"/>
    <w:rsid w:val="002D4523"/>
    <w:rsid w:val="002D5C63"/>
    <w:rsid w:val="002D7ADA"/>
    <w:rsid w:val="002E275F"/>
    <w:rsid w:val="002E2FAF"/>
    <w:rsid w:val="002F29A3"/>
    <w:rsid w:val="002F66C7"/>
    <w:rsid w:val="0030196F"/>
    <w:rsid w:val="00302775"/>
    <w:rsid w:val="00304D04"/>
    <w:rsid w:val="00307AA7"/>
    <w:rsid w:val="00310D8E"/>
    <w:rsid w:val="0032017D"/>
    <w:rsid w:val="003221F2"/>
    <w:rsid w:val="00322614"/>
    <w:rsid w:val="00322BBC"/>
    <w:rsid w:val="00334425"/>
    <w:rsid w:val="00334A24"/>
    <w:rsid w:val="003410FE"/>
    <w:rsid w:val="003419D1"/>
    <w:rsid w:val="003444D3"/>
    <w:rsid w:val="003508E7"/>
    <w:rsid w:val="003542F1"/>
    <w:rsid w:val="00356A3E"/>
    <w:rsid w:val="003642B8"/>
    <w:rsid w:val="003710BA"/>
    <w:rsid w:val="00375B44"/>
    <w:rsid w:val="00392919"/>
    <w:rsid w:val="00397FB1"/>
    <w:rsid w:val="003A348B"/>
    <w:rsid w:val="003A4115"/>
    <w:rsid w:val="003B2885"/>
    <w:rsid w:val="003B5B7A"/>
    <w:rsid w:val="003B7FC8"/>
    <w:rsid w:val="003C7325"/>
    <w:rsid w:val="003D075C"/>
    <w:rsid w:val="003D7DD0"/>
    <w:rsid w:val="003E3144"/>
    <w:rsid w:val="003E38DF"/>
    <w:rsid w:val="003F325D"/>
    <w:rsid w:val="00400258"/>
    <w:rsid w:val="00405EA4"/>
    <w:rsid w:val="0041034F"/>
    <w:rsid w:val="004118A3"/>
    <w:rsid w:val="004120C4"/>
    <w:rsid w:val="00423A26"/>
    <w:rsid w:val="00425046"/>
    <w:rsid w:val="00430CEE"/>
    <w:rsid w:val="004350B8"/>
    <w:rsid w:val="00444AAB"/>
    <w:rsid w:val="00450089"/>
    <w:rsid w:val="0045267F"/>
    <w:rsid w:val="00462B05"/>
    <w:rsid w:val="004729D1"/>
    <w:rsid w:val="004A5E99"/>
    <w:rsid w:val="004B2CED"/>
    <w:rsid w:val="004C1D48"/>
    <w:rsid w:val="004D65CA"/>
    <w:rsid w:val="004F20E9"/>
    <w:rsid w:val="004F6E89"/>
    <w:rsid w:val="00504A55"/>
    <w:rsid w:val="00504B06"/>
    <w:rsid w:val="005076A1"/>
    <w:rsid w:val="00513213"/>
    <w:rsid w:val="00517F12"/>
    <w:rsid w:val="0052102C"/>
    <w:rsid w:val="005212C8"/>
    <w:rsid w:val="00521392"/>
    <w:rsid w:val="00524E6C"/>
    <w:rsid w:val="005332D6"/>
    <w:rsid w:val="0053697F"/>
    <w:rsid w:val="00544DFE"/>
    <w:rsid w:val="005548F2"/>
    <w:rsid w:val="00565DB7"/>
    <w:rsid w:val="005734CE"/>
    <w:rsid w:val="005840AB"/>
    <w:rsid w:val="00585D91"/>
    <w:rsid w:val="00586664"/>
    <w:rsid w:val="00590ECF"/>
    <w:rsid w:val="00593290"/>
    <w:rsid w:val="00593ACD"/>
    <w:rsid w:val="00593EA3"/>
    <w:rsid w:val="005955FA"/>
    <w:rsid w:val="005A0E33"/>
    <w:rsid w:val="005A12F7"/>
    <w:rsid w:val="005A1B30"/>
    <w:rsid w:val="005A45E3"/>
    <w:rsid w:val="005B1A32"/>
    <w:rsid w:val="005B6E2E"/>
    <w:rsid w:val="005C0469"/>
    <w:rsid w:val="005C42C3"/>
    <w:rsid w:val="005C6116"/>
    <w:rsid w:val="005C77BB"/>
    <w:rsid w:val="005D17CF"/>
    <w:rsid w:val="005D24AF"/>
    <w:rsid w:val="005D31FD"/>
    <w:rsid w:val="005D5AAB"/>
    <w:rsid w:val="005D6E12"/>
    <w:rsid w:val="005E09A4"/>
    <w:rsid w:val="005E0ED8"/>
    <w:rsid w:val="005E2119"/>
    <w:rsid w:val="005E6ABD"/>
    <w:rsid w:val="005F0DA7"/>
    <w:rsid w:val="005F41FA"/>
    <w:rsid w:val="00600AE4"/>
    <w:rsid w:val="006015E8"/>
    <w:rsid w:val="006054AA"/>
    <w:rsid w:val="0062054D"/>
    <w:rsid w:val="00625882"/>
    <w:rsid w:val="006334BF"/>
    <w:rsid w:val="00635A54"/>
    <w:rsid w:val="00650BCA"/>
    <w:rsid w:val="006543A5"/>
    <w:rsid w:val="00661A62"/>
    <w:rsid w:val="00667D9C"/>
    <w:rsid w:val="006731D9"/>
    <w:rsid w:val="00677D87"/>
    <w:rsid w:val="0068123F"/>
    <w:rsid w:val="006822BC"/>
    <w:rsid w:val="006948D3"/>
    <w:rsid w:val="0069784C"/>
    <w:rsid w:val="006A1D72"/>
    <w:rsid w:val="006A60AA"/>
    <w:rsid w:val="006B034F"/>
    <w:rsid w:val="006B5117"/>
    <w:rsid w:val="006C171F"/>
    <w:rsid w:val="006C78AE"/>
    <w:rsid w:val="006D41D8"/>
    <w:rsid w:val="006E0CFA"/>
    <w:rsid w:val="006E6205"/>
    <w:rsid w:val="00701800"/>
    <w:rsid w:val="0070498E"/>
    <w:rsid w:val="0070666C"/>
    <w:rsid w:val="00710AC9"/>
    <w:rsid w:val="00713067"/>
    <w:rsid w:val="007174E5"/>
    <w:rsid w:val="007179B4"/>
    <w:rsid w:val="00725708"/>
    <w:rsid w:val="00740A47"/>
    <w:rsid w:val="00746ABD"/>
    <w:rsid w:val="00765A10"/>
    <w:rsid w:val="007664E7"/>
    <w:rsid w:val="0077418F"/>
    <w:rsid w:val="00775C44"/>
    <w:rsid w:val="007765B7"/>
    <w:rsid w:val="00776802"/>
    <w:rsid w:val="007924CE"/>
    <w:rsid w:val="00795AFA"/>
    <w:rsid w:val="007A4742"/>
    <w:rsid w:val="007B0251"/>
    <w:rsid w:val="007B2924"/>
    <w:rsid w:val="007B44F4"/>
    <w:rsid w:val="007B5DF2"/>
    <w:rsid w:val="007C2F7E"/>
    <w:rsid w:val="007C6235"/>
    <w:rsid w:val="007C70D1"/>
    <w:rsid w:val="007D1990"/>
    <w:rsid w:val="007D2C34"/>
    <w:rsid w:val="007D38BD"/>
    <w:rsid w:val="007D3F21"/>
    <w:rsid w:val="007D5DD2"/>
    <w:rsid w:val="007E1283"/>
    <w:rsid w:val="007E341A"/>
    <w:rsid w:val="007E6F8F"/>
    <w:rsid w:val="007F126F"/>
    <w:rsid w:val="007F2021"/>
    <w:rsid w:val="00803FBE"/>
    <w:rsid w:val="00805178"/>
    <w:rsid w:val="00806134"/>
    <w:rsid w:val="00821F6A"/>
    <w:rsid w:val="00830B70"/>
    <w:rsid w:val="00840749"/>
    <w:rsid w:val="00850542"/>
    <w:rsid w:val="00871F18"/>
    <w:rsid w:val="0087452F"/>
    <w:rsid w:val="00875528"/>
    <w:rsid w:val="00880C9F"/>
    <w:rsid w:val="00884686"/>
    <w:rsid w:val="00897F15"/>
    <w:rsid w:val="008A332F"/>
    <w:rsid w:val="008A3B18"/>
    <w:rsid w:val="008A52F6"/>
    <w:rsid w:val="008C1B40"/>
    <w:rsid w:val="008C4BCD"/>
    <w:rsid w:val="008C6721"/>
    <w:rsid w:val="008D3826"/>
    <w:rsid w:val="008D71D4"/>
    <w:rsid w:val="008E1198"/>
    <w:rsid w:val="008F2D9B"/>
    <w:rsid w:val="008F67EE"/>
    <w:rsid w:val="00907F6D"/>
    <w:rsid w:val="00911190"/>
    <w:rsid w:val="0091332C"/>
    <w:rsid w:val="00914D84"/>
    <w:rsid w:val="009256F2"/>
    <w:rsid w:val="0093020F"/>
    <w:rsid w:val="00933BEC"/>
    <w:rsid w:val="009347B8"/>
    <w:rsid w:val="00935299"/>
    <w:rsid w:val="00936729"/>
    <w:rsid w:val="009417C9"/>
    <w:rsid w:val="0095183B"/>
    <w:rsid w:val="00952126"/>
    <w:rsid w:val="00952617"/>
    <w:rsid w:val="00957565"/>
    <w:rsid w:val="009663A6"/>
    <w:rsid w:val="00971A40"/>
    <w:rsid w:val="00976434"/>
    <w:rsid w:val="00992EA3"/>
    <w:rsid w:val="009967CA"/>
    <w:rsid w:val="009A136D"/>
    <w:rsid w:val="009A17FF"/>
    <w:rsid w:val="009B4423"/>
    <w:rsid w:val="009B69EE"/>
    <w:rsid w:val="009C6140"/>
    <w:rsid w:val="009D2CA6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46C"/>
    <w:rsid w:val="00AA1318"/>
    <w:rsid w:val="00AA1501"/>
    <w:rsid w:val="00AA4CAB"/>
    <w:rsid w:val="00AA51AD"/>
    <w:rsid w:val="00AA730D"/>
    <w:rsid w:val="00AB2E01"/>
    <w:rsid w:val="00AC1716"/>
    <w:rsid w:val="00AC2715"/>
    <w:rsid w:val="00AC6D5E"/>
    <w:rsid w:val="00AC7E26"/>
    <w:rsid w:val="00AD45BB"/>
    <w:rsid w:val="00AE1643"/>
    <w:rsid w:val="00AE3A6C"/>
    <w:rsid w:val="00AF09B8"/>
    <w:rsid w:val="00AF567D"/>
    <w:rsid w:val="00AF5974"/>
    <w:rsid w:val="00B04350"/>
    <w:rsid w:val="00B17709"/>
    <w:rsid w:val="00B23828"/>
    <w:rsid w:val="00B257AE"/>
    <w:rsid w:val="00B27EE9"/>
    <w:rsid w:val="00B41415"/>
    <w:rsid w:val="00B440C3"/>
    <w:rsid w:val="00B46B7D"/>
    <w:rsid w:val="00B50560"/>
    <w:rsid w:val="00B5205A"/>
    <w:rsid w:val="00B5532F"/>
    <w:rsid w:val="00B56C86"/>
    <w:rsid w:val="00B577F4"/>
    <w:rsid w:val="00B64B3C"/>
    <w:rsid w:val="00B673C6"/>
    <w:rsid w:val="00B71B15"/>
    <w:rsid w:val="00B74859"/>
    <w:rsid w:val="00B87D3D"/>
    <w:rsid w:val="00B91243"/>
    <w:rsid w:val="00B95ABE"/>
    <w:rsid w:val="00BA481C"/>
    <w:rsid w:val="00BA4873"/>
    <w:rsid w:val="00BB059E"/>
    <w:rsid w:val="00BB18FD"/>
    <w:rsid w:val="00BB2420"/>
    <w:rsid w:val="00BB49AC"/>
    <w:rsid w:val="00BB5ACE"/>
    <w:rsid w:val="00BC1BD2"/>
    <w:rsid w:val="00BC3F84"/>
    <w:rsid w:val="00BC4471"/>
    <w:rsid w:val="00BC6BE4"/>
    <w:rsid w:val="00BE47CD"/>
    <w:rsid w:val="00BE5BF9"/>
    <w:rsid w:val="00BF15BC"/>
    <w:rsid w:val="00C0087E"/>
    <w:rsid w:val="00C1106C"/>
    <w:rsid w:val="00C1591A"/>
    <w:rsid w:val="00C26361"/>
    <w:rsid w:val="00C302F1"/>
    <w:rsid w:val="00C3575F"/>
    <w:rsid w:val="00C42AEA"/>
    <w:rsid w:val="00C45D80"/>
    <w:rsid w:val="00C57985"/>
    <w:rsid w:val="00C61345"/>
    <w:rsid w:val="00C6751B"/>
    <w:rsid w:val="00C755C4"/>
    <w:rsid w:val="00C7784C"/>
    <w:rsid w:val="00CA516B"/>
    <w:rsid w:val="00CC2DE6"/>
    <w:rsid w:val="00CC3664"/>
    <w:rsid w:val="00CC7E21"/>
    <w:rsid w:val="00CD6790"/>
    <w:rsid w:val="00CD73A6"/>
    <w:rsid w:val="00CE441F"/>
    <w:rsid w:val="00CE74F9"/>
    <w:rsid w:val="00CE7777"/>
    <w:rsid w:val="00CF1806"/>
    <w:rsid w:val="00CF2A8C"/>
    <w:rsid w:val="00CF2E64"/>
    <w:rsid w:val="00CF31C6"/>
    <w:rsid w:val="00D02F6D"/>
    <w:rsid w:val="00D131F8"/>
    <w:rsid w:val="00D22C21"/>
    <w:rsid w:val="00D25CFE"/>
    <w:rsid w:val="00D4607F"/>
    <w:rsid w:val="00D51D90"/>
    <w:rsid w:val="00D57025"/>
    <w:rsid w:val="00D57765"/>
    <w:rsid w:val="00D704C6"/>
    <w:rsid w:val="00D71471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D4AAD"/>
    <w:rsid w:val="00DE2F90"/>
    <w:rsid w:val="00DE6249"/>
    <w:rsid w:val="00DE731D"/>
    <w:rsid w:val="00DF37CE"/>
    <w:rsid w:val="00E0076D"/>
    <w:rsid w:val="00E11B44"/>
    <w:rsid w:val="00E157EE"/>
    <w:rsid w:val="00E15DEB"/>
    <w:rsid w:val="00E1688D"/>
    <w:rsid w:val="00E203EB"/>
    <w:rsid w:val="00E2396E"/>
    <w:rsid w:val="00E35401"/>
    <w:rsid w:val="00E375DB"/>
    <w:rsid w:val="00E42938"/>
    <w:rsid w:val="00E47508"/>
    <w:rsid w:val="00E55EB0"/>
    <w:rsid w:val="00E56CF4"/>
    <w:rsid w:val="00E57BB7"/>
    <w:rsid w:val="00E61CB0"/>
    <w:rsid w:val="00E71256"/>
    <w:rsid w:val="00E71BCF"/>
    <w:rsid w:val="00E81D7C"/>
    <w:rsid w:val="00E83FA4"/>
    <w:rsid w:val="00E86020"/>
    <w:rsid w:val="00E975AA"/>
    <w:rsid w:val="00EA0B4F"/>
    <w:rsid w:val="00EB00AB"/>
    <w:rsid w:val="00EB2D98"/>
    <w:rsid w:val="00EC0A0F"/>
    <w:rsid w:val="00EC2AFC"/>
    <w:rsid w:val="00EC41D1"/>
    <w:rsid w:val="00EE0B49"/>
    <w:rsid w:val="00EE3AD4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48D6"/>
    <w:rsid w:val="00F86555"/>
    <w:rsid w:val="00F86C58"/>
    <w:rsid w:val="00F9223E"/>
    <w:rsid w:val="00FA6717"/>
    <w:rsid w:val="00FC30C7"/>
    <w:rsid w:val="00FC3B03"/>
    <w:rsid w:val="00FC712A"/>
    <w:rsid w:val="00FE0DEF"/>
    <w:rsid w:val="00FE601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0A8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0087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C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C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C4F"/>
    <w:rPr>
      <w:vertAlign w:val="superscript"/>
    </w:rPr>
  </w:style>
  <w:style w:type="character" w:customStyle="1" w:styleId="BrakA">
    <w:name w:val="Brak A"/>
    <w:rsid w:val="00713067"/>
  </w:style>
  <w:style w:type="numbering" w:customStyle="1" w:styleId="Zaimportowanystyl1">
    <w:name w:val="Zaimportowany styl 1"/>
    <w:rsid w:val="00713067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15C5F-AD01-44AC-B1E3-4B9438E1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2345</Words>
  <Characters>14073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2021-10-22T08:49:00Z</dcterms:created>
  <dcterms:modified xsi:type="dcterms:W3CDTF">2021-10-22T08:49:00Z</dcterms:modified>
</cp:coreProperties>
</file>